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both"/>
        <w:textAlignment w:val="auto"/>
        <w:rPr>
          <w:rFonts w:eastAsia="黑体"/>
          <w:b/>
          <w:bCs/>
          <w:lang w:eastAsia="zh-CN"/>
        </w:rPr>
      </w:pPr>
      <w:r>
        <w:rPr>
          <w:rFonts w:hint="eastAsia" w:eastAsia="黑体"/>
          <w:b/>
          <w:bCs/>
        </w:rPr>
        <w:t xml:space="preserve">Table </w:t>
      </w:r>
      <w:bookmarkStart w:id="0" w:name="_GoBack"/>
      <w:bookmarkEnd w:id="0"/>
      <w:r>
        <w:rPr>
          <w:rFonts w:hint="eastAsia" w:eastAsia="黑体"/>
          <w:b/>
          <w:bCs/>
          <w:lang w:val="en-US" w:eastAsia="zh-CN"/>
        </w:rPr>
        <w:t>4</w:t>
      </w:r>
      <w:r>
        <w:rPr>
          <w:rFonts w:hint="eastAsia" w:eastAsia="黑体"/>
          <w:b/>
          <w:bCs/>
          <w:lang w:eastAsia="zh-CN"/>
        </w:rPr>
        <w:t>.</w:t>
      </w:r>
      <w:r>
        <w:rPr>
          <w:rFonts w:hint="eastAsia" w:eastAsia="黑体"/>
          <w:b/>
          <w:bCs/>
        </w:rPr>
        <w:t xml:space="preserve"> </w:t>
      </w:r>
      <w:r>
        <w:rPr>
          <w:rFonts w:hint="eastAsia" w:eastAsia="黑体"/>
          <w:b/>
          <w:bCs/>
          <w:lang w:eastAsia="zh-CN"/>
        </w:rPr>
        <w:t>G</w:t>
      </w:r>
      <w:r>
        <w:rPr>
          <w:rFonts w:hint="eastAsia" w:eastAsia="黑体"/>
          <w:b/>
          <w:bCs/>
        </w:rPr>
        <w:t xml:space="preserve">o </w:t>
      </w:r>
      <w:r>
        <w:rPr>
          <w:rFonts w:cs="Times New Roman"/>
          <w:b/>
          <w:bCs/>
          <w:shd w:val="clear" w:color="auto" w:fill="FFFFFF"/>
        </w:rPr>
        <w:t>enrichment</w:t>
      </w:r>
      <w:r>
        <w:rPr>
          <w:rFonts w:hint="eastAsia" w:cs="Times New Roman"/>
          <w:b/>
          <w:bCs/>
          <w:shd w:val="clear" w:color="auto" w:fill="FFFFFF"/>
          <w:lang w:eastAsia="zh-CN"/>
        </w:rPr>
        <w:t xml:space="preserve"> </w:t>
      </w:r>
      <w:r>
        <w:rPr>
          <w:rFonts w:hint="eastAsia" w:eastAsia="黑体"/>
          <w:b/>
          <w:bCs/>
        </w:rPr>
        <w:t>analysis</w:t>
      </w:r>
      <w:r>
        <w:rPr>
          <w:rFonts w:hint="eastAsia" w:eastAsia="黑体"/>
          <w:b/>
          <w:bCs/>
          <w:lang w:eastAsia="zh-CN"/>
        </w:rPr>
        <w:t>.</w:t>
      </w:r>
    </w:p>
    <w:tbl>
      <w:tblPr>
        <w:tblStyle w:val="5"/>
        <w:tblW w:w="846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5"/>
        <w:gridCol w:w="1560"/>
        <w:gridCol w:w="3416"/>
        <w:gridCol w:w="882"/>
        <w:gridCol w:w="12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36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>
              <w:rPr>
                <w:rFonts w:eastAsia="等线" w:cs="Times New Roman"/>
                <w:b/>
                <w:bCs/>
                <w:color w:val="000000"/>
                <w:szCs w:val="24"/>
              </w:rPr>
              <w:t>Class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>
              <w:rPr>
                <w:rFonts w:eastAsia="等线" w:cs="Times New Roman"/>
                <w:b/>
                <w:bCs/>
                <w:color w:val="000000"/>
                <w:szCs w:val="24"/>
              </w:rPr>
              <w:t xml:space="preserve">GO </w:t>
            </w:r>
          </w:p>
        </w:tc>
        <w:tc>
          <w:tcPr>
            <w:tcW w:w="341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>
              <w:rPr>
                <w:rFonts w:eastAsia="等线" w:cs="Times New Roman"/>
                <w:b/>
                <w:bCs/>
                <w:color w:val="000000"/>
                <w:szCs w:val="24"/>
              </w:rPr>
              <w:t>term</w:t>
            </w:r>
          </w:p>
        </w:tc>
        <w:tc>
          <w:tcPr>
            <w:tcW w:w="882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>
              <w:rPr>
                <w:rFonts w:eastAsia="等线" w:cs="Times New Roman"/>
                <w:b/>
                <w:bCs/>
                <w:color w:val="000000"/>
                <w:szCs w:val="24"/>
              </w:rPr>
              <w:t>Count</w:t>
            </w:r>
          </w:p>
        </w:tc>
        <w:tc>
          <w:tcPr>
            <w:tcW w:w="123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b/>
                <w:bCs/>
                <w:color w:val="000000"/>
                <w:szCs w:val="24"/>
              </w:rPr>
            </w:pPr>
            <w:r>
              <w:rPr>
                <w:rFonts w:eastAsia="等线" w:cs="Times New Roman"/>
                <w:b/>
                <w:bCs/>
                <w:color w:val="000000"/>
                <w:szCs w:val="24"/>
              </w:rPr>
              <w:t>P-value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  <w:r>
              <w:rPr>
                <w:rFonts w:eastAsia="等线" w:cs="Times New Roman"/>
                <w:color w:val="000000"/>
                <w:szCs w:val="24"/>
              </w:rPr>
              <w:t>Molecular Function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GO:1990776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response to angiotensin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1.71E-10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GO:1904646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cellular response to amyloid-beta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1.06E-11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GO:1904645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response to amyloid-beta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14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1.22E-14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GO:1901338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catecholamine binding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1.05E-14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GO:0098531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ligand-activated transcription factor activity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20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1.07E-22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GO:0071880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adenylate cyclase-activating adrenergic receptor signaling pathway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10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5.57E-13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GO:0071875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adrenergic receptor signaling pathway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1.17E-13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GO:0050321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tau-protein kinase activity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7.95E-10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GO:0042417</w:t>
            </w:r>
          </w:p>
        </w:tc>
        <w:tc>
          <w:tcPr>
            <w:tcW w:w="3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dopamine metabolic process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11</w:t>
            </w: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3.23E-12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GO:0035094</w:t>
            </w:r>
          </w:p>
        </w:tc>
        <w:tc>
          <w:tcPr>
            <w:tcW w:w="3416" w:type="dxa"/>
            <w:tcBorders>
              <w:top w:val="nil"/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response to nicotine</w:t>
            </w:r>
          </w:p>
        </w:tc>
        <w:tc>
          <w:tcPr>
            <w:tcW w:w="8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14</w:t>
            </w:r>
          </w:p>
        </w:tc>
        <w:tc>
          <w:tcPr>
            <w:tcW w:w="123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9.16E-15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  <w:r>
              <w:rPr>
                <w:rFonts w:eastAsia="等线" w:cs="Times New Roman"/>
                <w:color w:val="000000"/>
                <w:szCs w:val="24"/>
              </w:rPr>
              <w:t>Cellular Component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GO:1902711</w:t>
            </w:r>
          </w:p>
        </w:tc>
        <w:tc>
          <w:tcPr>
            <w:tcW w:w="3416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GABA-A receptor complex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5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4.97E-06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GO:1902710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GABA receptor complex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5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6.55E-06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GO:0099699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integral component of synaptic membrane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18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9.95E-12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GO:0099634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postsynaptic specialization membrane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13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1.89E-08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GO:0099240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intrinsic component of synaptic membrane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18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4.53E-11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GO:0099056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integral component of presynaptic membrane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12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4.16E-10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GO:0099055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integral component of postsynaptic membrane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15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1.37E-10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GO:0098982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GABA-ergic synapse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8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1.16E-05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GO:0098936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intrinsic component of postsynaptic membrane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15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3.08E-10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GO:0098889</w:t>
            </w:r>
          </w:p>
        </w:tc>
        <w:tc>
          <w:tcPr>
            <w:tcW w:w="3416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intrinsic component of presynaptic membrane</w:t>
            </w:r>
          </w:p>
        </w:tc>
        <w:tc>
          <w:tcPr>
            <w:tcW w:w="882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szCs w:val="24"/>
              </w:rPr>
            </w:pPr>
            <w:r>
              <w:t>12</w:t>
            </w:r>
          </w:p>
        </w:tc>
        <w:tc>
          <w:tcPr>
            <w:tcW w:w="1239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1.65E-09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  <w:r>
              <w:rPr>
                <w:rFonts w:eastAsia="等线" w:cs="Times New Roman"/>
                <w:color w:val="000000"/>
                <w:szCs w:val="24"/>
              </w:rPr>
              <w:t>Biological Process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GO:2000811</w:t>
            </w:r>
          </w:p>
        </w:tc>
        <w:tc>
          <w:tcPr>
            <w:tcW w:w="3416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negative regulation of anoikis</w:t>
            </w:r>
          </w:p>
        </w:tc>
        <w:tc>
          <w:tcPr>
            <w:tcW w:w="882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6</w:t>
            </w:r>
          </w:p>
        </w:tc>
        <w:tc>
          <w:tcPr>
            <w:tcW w:w="1239" w:type="dxa"/>
            <w:tcBorders>
              <w:top w:val="single" w:color="auto" w:sz="4" w:space="0"/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9.75E-08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GO:1990776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response to angiotensin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9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2.82E-10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GO:0098531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ligand-activated transcription factor activity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20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3.26E-22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GO:0090494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dopamine uptake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6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9.75E-08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GO:0090493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catecholamine uptake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6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2.09E-07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GO:0071880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adenylate cyclase-activating adrenergic receptor signaling pathway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10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9.76E-13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GO:0071875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adrenergic receptor signaling pathway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11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2.17E-13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GO:0051934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catecholamine uptake involved in synaptic transmission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6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7.74E-09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GO:0051770</w:t>
            </w:r>
          </w:p>
        </w:tc>
        <w:tc>
          <w:tcPr>
            <w:tcW w:w="3416" w:type="dxa"/>
            <w:tcBorders>
              <w:left w:val="nil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positive regulation of nitric-oxide synthase biosynthetic process</w:t>
            </w:r>
          </w:p>
        </w:tc>
        <w:tc>
          <w:tcPr>
            <w:tcW w:w="882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7</w:t>
            </w: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1.31E-09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365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等线" w:cs="Times New Roman"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GO:0051769</w:t>
            </w:r>
          </w:p>
        </w:tc>
        <w:tc>
          <w:tcPr>
            <w:tcW w:w="3416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regulation of nitric-oxide synthase biosynthetic process</w:t>
            </w:r>
          </w:p>
        </w:tc>
        <w:tc>
          <w:tcPr>
            <w:tcW w:w="882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eastAsia="黑体" w:cs="Times New Roman"/>
                <w:color w:val="000000"/>
                <w:szCs w:val="24"/>
              </w:rPr>
            </w:pPr>
            <w:r>
              <w:t>7</w:t>
            </w:r>
          </w:p>
        </w:tc>
        <w:tc>
          <w:tcPr>
            <w:tcW w:w="1239" w:type="dxa"/>
            <w:tcBorders>
              <w:left w:val="nil"/>
              <w:bottom w:val="single" w:color="auto" w:sz="4" w:space="0"/>
              <w:right w:val="nil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textAlignment w:val="auto"/>
              <w:rPr>
                <w:rFonts w:eastAsia="黑体" w:cs="Times New Roman"/>
                <w:szCs w:val="24"/>
              </w:rPr>
            </w:pPr>
            <w:r>
              <w:t>8.46E-09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cs="Times New Roman"/>
          <w:szCs w:val="24"/>
        </w:rPr>
      </w:pPr>
    </w:p>
    <w:p/>
    <w:p/>
    <w:p/>
    <w:p/>
    <w:p/>
    <w:p/>
    <w:p/>
    <w:p/>
    <w:p/>
    <w:p/>
    <w:p/>
    <w:p/>
    <w:p/>
    <w:p/>
    <w:p/>
    <w:p/>
    <w:p/>
    <w:p/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/>
        <w:bidi w:val="0"/>
        <w:spacing w:before="105" w:beforeAutospacing="0" w:after="105" w:afterAutospacing="0" w:line="240" w:lineRule="atLeast"/>
        <w:ind w:left="0" w:right="0" w:firstLine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BkZDljNTkyNmFmZThlOWE5MDE5ZDk5Yzg4MWZkYzQifQ=="/>
  </w:docVars>
  <w:rsids>
    <w:rsidRoot w:val="00556D17"/>
    <w:rsid w:val="001910A3"/>
    <w:rsid w:val="001C3445"/>
    <w:rsid w:val="00374351"/>
    <w:rsid w:val="003A4343"/>
    <w:rsid w:val="003B5F64"/>
    <w:rsid w:val="003F3EA5"/>
    <w:rsid w:val="00486358"/>
    <w:rsid w:val="005474D4"/>
    <w:rsid w:val="00556D17"/>
    <w:rsid w:val="00612B31"/>
    <w:rsid w:val="00630349"/>
    <w:rsid w:val="00770FF7"/>
    <w:rsid w:val="009031D3"/>
    <w:rsid w:val="00B12556"/>
    <w:rsid w:val="00B141BD"/>
    <w:rsid w:val="00F1101D"/>
    <w:rsid w:val="00F220F5"/>
    <w:rsid w:val="01C34939"/>
    <w:rsid w:val="04F257FF"/>
    <w:rsid w:val="060E63AB"/>
    <w:rsid w:val="082578A3"/>
    <w:rsid w:val="14B1638F"/>
    <w:rsid w:val="1C0476ED"/>
    <w:rsid w:val="23011949"/>
    <w:rsid w:val="3797705C"/>
    <w:rsid w:val="41A25F1E"/>
    <w:rsid w:val="424B63BB"/>
    <w:rsid w:val="433F179E"/>
    <w:rsid w:val="49877C6B"/>
    <w:rsid w:val="4AAA7D2C"/>
    <w:rsid w:val="4E06001E"/>
    <w:rsid w:val="53F57002"/>
    <w:rsid w:val="55436576"/>
    <w:rsid w:val="57E5675C"/>
    <w:rsid w:val="588E1C22"/>
    <w:rsid w:val="59AF0343"/>
    <w:rsid w:val="610F77B7"/>
    <w:rsid w:val="61AD49F5"/>
    <w:rsid w:val="6631584F"/>
    <w:rsid w:val="6A613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</w:pPr>
    <w:rPr>
      <w:rFonts w:ascii="Times New Roman" w:hAnsi="Times New Roman" w:eastAsiaTheme="minorEastAsia" w:cstheme="minorBidi"/>
      <w:sz w:val="24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HTML Code"/>
    <w:basedOn w:val="6"/>
    <w:semiHidden/>
    <w:unhideWhenUsed/>
    <w:uiPriority w:val="99"/>
    <w:rPr>
      <w:rFonts w:ascii="Courier New" w:hAnsi="Courier New"/>
      <w:sz w:val="20"/>
    </w:rPr>
  </w:style>
  <w:style w:type="character" w:customStyle="1" w:styleId="8">
    <w:name w:val="页眉 字符"/>
    <w:basedOn w:val="6"/>
    <w:link w:val="3"/>
    <w:qFormat/>
    <w:uiPriority w:val="99"/>
    <w:rPr>
      <w:rFonts w:eastAsiaTheme="minorEastAsia" w:cstheme="minorBidi"/>
      <w:sz w:val="18"/>
      <w:szCs w:val="18"/>
      <w:lang w:eastAsia="en-US"/>
    </w:rPr>
  </w:style>
  <w:style w:type="character" w:customStyle="1" w:styleId="9">
    <w:name w:val="页脚 字符"/>
    <w:basedOn w:val="6"/>
    <w:link w:val="2"/>
    <w:qFormat/>
    <w:uiPriority w:val="99"/>
    <w:rPr>
      <w:rFonts w:eastAsiaTheme="minorEastAsia" w:cstheme="minorBid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226</Words>
  <Characters>1684</Characters>
  <Lines>13</Lines>
  <Paragraphs>3</Paragraphs>
  <TotalTime>36</TotalTime>
  <ScaleCrop>false</ScaleCrop>
  <LinksUpToDate>false</LinksUpToDate>
  <CharactersWithSpaces>1782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2022-03-20T02:07:00Z</dcterms:created>
  <dc:creator>刀光如电</dc:creator>
  <cp:lastModifiedBy>踏浪者</cp:lastModifiedBy>
  <dcterms:modified xsi:type="dcterms:W3CDTF">2023-05-22T14:47:18Z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02B2F3A91C3B47FA8A533984473F0108</vt:lpwstr>
  </property>
</Properties>
</file>